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530"/>
        <w:gridCol w:w="1530"/>
        <w:gridCol w:w="1530"/>
        <w:gridCol w:w="1440"/>
        <w:gridCol w:w="1440"/>
      </w:tblGrid>
      <w:tr w:rsidR="00E21EC8" w14:paraId="0D2C10D8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0F43AD8C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Coursework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32657B46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Lab Rotations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7A36F4BB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Qualifying Exam (QE)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2957B501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Advance to Candidacy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4C79FA3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Teaching Requirement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943F381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 xml:space="preserve">Dissertation </w:t>
            </w:r>
          </w:p>
          <w:p w14:paraId="5EE153AF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Talk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055446C8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File Dissertation</w:t>
            </w:r>
          </w:p>
        </w:tc>
      </w:tr>
      <w:tr w:rsidR="00E21EC8" w14:paraId="47ECC48C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6E8EEC0F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First and second year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C02E120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First year:</w:t>
            </w:r>
          </w:p>
          <w:p w14:paraId="15837533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Students usually do 3 lab rotations. IDI follows MCB lab rotations schedule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6F33E0A5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End of second year (4</w:t>
            </w:r>
            <w:r w:rsidRPr="00D31163">
              <w:rPr>
                <w:sz w:val="18"/>
                <w:szCs w:val="18"/>
                <w:vertAlign w:val="superscript"/>
              </w:rPr>
              <w:t>th</w:t>
            </w:r>
            <w:r w:rsidRPr="00D31163">
              <w:rPr>
                <w:sz w:val="18"/>
                <w:szCs w:val="18"/>
              </w:rPr>
              <w:t xml:space="preserve"> semester)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343DFFD8" w14:textId="77777777" w:rsidR="00E21EC8" w:rsidRPr="00D31163" w:rsidRDefault="00E21EC8" w:rsidP="00CC1AAF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Beginning of the third year.</w:t>
            </w:r>
          </w:p>
          <w:p w14:paraId="498CDC82" w14:textId="432A4D94" w:rsidR="00E21EC8" w:rsidRPr="00D31163" w:rsidRDefault="00E21EC8" w:rsidP="00CC1AAF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Students should </w:t>
            </w:r>
            <w:r w:rsidRPr="003412A8">
              <w:rPr>
                <w:b/>
                <w:bCs/>
                <w:sz w:val="18"/>
                <w:szCs w:val="18"/>
              </w:rPr>
              <w:t xml:space="preserve">apply for Advancement to Candidacy </w:t>
            </w:r>
            <w:r w:rsidR="003412A8">
              <w:rPr>
                <w:b/>
                <w:bCs/>
                <w:sz w:val="18"/>
                <w:szCs w:val="18"/>
              </w:rPr>
              <w:t xml:space="preserve">immediately </w:t>
            </w:r>
            <w:r w:rsidRPr="003412A8">
              <w:rPr>
                <w:b/>
                <w:bCs/>
                <w:sz w:val="18"/>
                <w:szCs w:val="18"/>
              </w:rPr>
              <w:t>af</w:t>
            </w:r>
            <w:r w:rsidR="00640BC6" w:rsidRPr="003412A8">
              <w:rPr>
                <w:b/>
                <w:bCs/>
                <w:sz w:val="18"/>
                <w:szCs w:val="18"/>
              </w:rPr>
              <w:t>ter passing QE successfully</w:t>
            </w:r>
            <w:r w:rsidR="00AE3C2C">
              <w:rPr>
                <w:b/>
                <w:bCs/>
                <w:sz w:val="18"/>
                <w:szCs w:val="18"/>
              </w:rPr>
              <w:t>.</w:t>
            </w:r>
            <w:r w:rsidR="003160EE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BF4354D" w14:textId="6DEFA292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2 </w:t>
            </w:r>
            <w:r w:rsidR="00AE3C2C">
              <w:rPr>
                <w:sz w:val="18"/>
                <w:szCs w:val="18"/>
              </w:rPr>
              <w:t xml:space="preserve">semesters of </w:t>
            </w:r>
            <w:r w:rsidRPr="00D31163">
              <w:rPr>
                <w:sz w:val="18"/>
                <w:szCs w:val="18"/>
              </w:rPr>
              <w:t>GSI teaching are needed. More if situation warrants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2ADAF27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In the semester student ready to file dissertation.</w:t>
            </w:r>
          </w:p>
          <w:p w14:paraId="7C253F62" w14:textId="77777777" w:rsidR="00E21EC8" w:rsidRPr="00D31163" w:rsidRDefault="00E21EC8">
            <w:pPr>
              <w:rPr>
                <w:sz w:val="18"/>
                <w:szCs w:val="18"/>
              </w:rPr>
            </w:pPr>
          </w:p>
          <w:p w14:paraId="3BFD9919" w14:textId="2296084C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Present Dissertation </w:t>
            </w:r>
            <w:r w:rsidR="00C21FA2" w:rsidRPr="00D31163">
              <w:rPr>
                <w:sz w:val="18"/>
                <w:szCs w:val="18"/>
              </w:rPr>
              <w:t xml:space="preserve">talk </w:t>
            </w:r>
            <w:r w:rsidRPr="00D31163">
              <w:rPr>
                <w:sz w:val="18"/>
                <w:szCs w:val="18"/>
              </w:rPr>
              <w:t xml:space="preserve">in the </w:t>
            </w:r>
            <w:r w:rsidR="00AE3C2C" w:rsidRPr="00D31163">
              <w:rPr>
                <w:sz w:val="18"/>
                <w:szCs w:val="18"/>
              </w:rPr>
              <w:t xml:space="preserve">Monday </w:t>
            </w:r>
            <w:r w:rsidRPr="00D31163">
              <w:rPr>
                <w:sz w:val="18"/>
                <w:szCs w:val="18"/>
              </w:rPr>
              <w:t>IDI Seminar</w:t>
            </w:r>
            <w:r w:rsidR="00AE3C2C">
              <w:rPr>
                <w:sz w:val="18"/>
                <w:szCs w:val="18"/>
              </w:rPr>
              <w:t xml:space="preserve"> Series 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0AE72FB9" w14:textId="77777777" w:rsidR="00E21EC8" w:rsidRPr="00D31163" w:rsidRDefault="00E21EC8">
            <w:pPr>
              <w:rPr>
                <w:sz w:val="20"/>
                <w:szCs w:val="20"/>
              </w:rPr>
            </w:pPr>
            <w:r w:rsidRPr="00D31163">
              <w:rPr>
                <w:sz w:val="20"/>
                <w:szCs w:val="20"/>
              </w:rPr>
              <w:t>Must be registered student or on filing fee to file. Deadline for submission and format see resource links below</w:t>
            </w:r>
          </w:p>
          <w:p w14:paraId="621E854D" w14:textId="77777777" w:rsidR="00E21EC8" w:rsidRPr="00D31163" w:rsidRDefault="00E21EC8">
            <w:pPr>
              <w:rPr>
                <w:sz w:val="20"/>
                <w:szCs w:val="20"/>
              </w:rPr>
            </w:pPr>
          </w:p>
        </w:tc>
      </w:tr>
      <w:tr w:rsidR="00E21EC8" w14:paraId="362367E6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613D0613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Group I to Group IV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D1EF139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PIs will review student’s lab performance after each lab rotation. Student must be able to join a lab </w:t>
            </w:r>
            <w:r w:rsidR="00640BC6" w:rsidRPr="00D31163">
              <w:rPr>
                <w:sz w:val="18"/>
                <w:szCs w:val="18"/>
              </w:rPr>
              <w:t xml:space="preserve">for dissertation research </w:t>
            </w:r>
            <w:r w:rsidRPr="00D31163">
              <w:rPr>
                <w:sz w:val="18"/>
                <w:szCs w:val="18"/>
              </w:rPr>
              <w:t>b</w:t>
            </w:r>
            <w:r w:rsidR="00640BC6" w:rsidRPr="00D31163">
              <w:rPr>
                <w:sz w:val="18"/>
                <w:szCs w:val="18"/>
              </w:rPr>
              <w:t>y May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27190E3F" w14:textId="77777777" w:rsidR="00640BC6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The QE is a university requirement. Students must demonstrate expertise in the areas of the discipline that have been specified for the exam and be able to produce an acceptable plan for their dissertation. </w:t>
            </w:r>
          </w:p>
          <w:p w14:paraId="07444827" w14:textId="77777777" w:rsidR="00640BC6" w:rsidRPr="00D31163" w:rsidRDefault="00640BC6">
            <w:pPr>
              <w:rPr>
                <w:sz w:val="18"/>
                <w:szCs w:val="18"/>
              </w:rPr>
            </w:pPr>
          </w:p>
          <w:p w14:paraId="6190BBA9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QE should be taken after the coursework requirements are fulfilled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087C24C7" w14:textId="2766A583" w:rsidR="00E21EC8" w:rsidRPr="00D31163" w:rsidRDefault="00E21EC8" w:rsidP="00CC1AAF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To advance to candidacy, students must organize the Dissertation Committees in consultation of the program Head Graduate Advisor. Let the GSAO know of the Committee membership before submit</w:t>
            </w:r>
            <w:r w:rsidR="00D31163" w:rsidRPr="00D31163">
              <w:rPr>
                <w:sz w:val="18"/>
                <w:szCs w:val="18"/>
              </w:rPr>
              <w:t xml:space="preserve">ting </w:t>
            </w:r>
            <w:r w:rsidRPr="00D31163">
              <w:rPr>
                <w:sz w:val="18"/>
                <w:szCs w:val="18"/>
              </w:rPr>
              <w:t xml:space="preserve">the application in </w:t>
            </w:r>
            <w:proofErr w:type="spellStart"/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al</w:t>
            </w:r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entral</w:t>
            </w:r>
            <w:proofErr w:type="spellEnd"/>
            <w:r w:rsidRPr="00D31163">
              <w:rPr>
                <w:sz w:val="18"/>
                <w:szCs w:val="18"/>
              </w:rPr>
              <w:t xml:space="preserve"> e</w:t>
            </w:r>
            <w:r w:rsidR="004101C2" w:rsidRPr="00D31163">
              <w:rPr>
                <w:sz w:val="18"/>
                <w:szCs w:val="18"/>
              </w:rPr>
              <w:t>-</w:t>
            </w:r>
            <w:r w:rsidRPr="00D31163">
              <w:rPr>
                <w:sz w:val="18"/>
                <w:szCs w:val="18"/>
              </w:rPr>
              <w:t>form</w:t>
            </w:r>
            <w:r w:rsidR="003160EE">
              <w:rPr>
                <w:sz w:val="18"/>
                <w:szCs w:val="18"/>
              </w:rPr>
              <w:t>**</w:t>
            </w:r>
            <w:r w:rsidRPr="00D31163">
              <w:rPr>
                <w:sz w:val="18"/>
                <w:szCs w:val="18"/>
              </w:rPr>
              <w:t xml:space="preserve">. </w:t>
            </w:r>
            <w:r w:rsidRPr="003412A8">
              <w:rPr>
                <w:b/>
                <w:bCs/>
                <w:sz w:val="18"/>
                <w:szCs w:val="18"/>
              </w:rPr>
              <w:t>NRST fee will be waived for</w:t>
            </w:r>
            <w:r w:rsidRPr="00D31163">
              <w:rPr>
                <w:sz w:val="18"/>
                <w:szCs w:val="18"/>
              </w:rPr>
              <w:t xml:space="preserve"> </w:t>
            </w:r>
            <w:r w:rsidRPr="003412A8">
              <w:rPr>
                <w:b/>
                <w:bCs/>
                <w:sz w:val="18"/>
                <w:szCs w:val="18"/>
              </w:rPr>
              <w:t>6 semesters</w:t>
            </w:r>
            <w:r w:rsidRPr="00D31163">
              <w:rPr>
                <w:sz w:val="18"/>
                <w:szCs w:val="18"/>
              </w:rPr>
              <w:t xml:space="preserve"> for students after advanced to candidacy. Students must enroll </w:t>
            </w:r>
            <w:r w:rsidR="00640BC6" w:rsidRPr="00D31163">
              <w:rPr>
                <w:sz w:val="18"/>
                <w:szCs w:val="18"/>
              </w:rPr>
              <w:t xml:space="preserve">in the PI’s </w:t>
            </w:r>
            <w:r w:rsidR="00AE3C2C">
              <w:rPr>
                <w:sz w:val="18"/>
                <w:szCs w:val="18"/>
              </w:rPr>
              <w:t>PH</w:t>
            </w:r>
            <w:r w:rsidRPr="00D31163">
              <w:rPr>
                <w:sz w:val="18"/>
                <w:szCs w:val="18"/>
              </w:rPr>
              <w:t xml:space="preserve">299 </w:t>
            </w:r>
            <w:r w:rsidR="00640BC6" w:rsidRPr="00D31163">
              <w:rPr>
                <w:sz w:val="18"/>
                <w:szCs w:val="18"/>
              </w:rPr>
              <w:t xml:space="preserve">every semester </w:t>
            </w:r>
            <w:r w:rsidRPr="00D31163">
              <w:rPr>
                <w:sz w:val="18"/>
                <w:szCs w:val="18"/>
              </w:rPr>
              <w:t xml:space="preserve">for </w:t>
            </w:r>
            <w:r w:rsidR="00AE3C2C">
              <w:rPr>
                <w:sz w:val="18"/>
                <w:szCs w:val="18"/>
              </w:rPr>
              <w:t xml:space="preserve">up to </w:t>
            </w:r>
            <w:r w:rsidRPr="00D31163">
              <w:rPr>
                <w:sz w:val="18"/>
                <w:szCs w:val="18"/>
              </w:rPr>
              <w:t>12 units till graduation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D9BACBA" w14:textId="77777777" w:rsidR="00E21EC8" w:rsidRPr="00D31163" w:rsidRDefault="00C21FA2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Apply for GSI positions and land on the job.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83E2B84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14:paraId="04185FE4" w14:textId="77777777" w:rsidR="00E21EC8" w:rsidRPr="00D31163" w:rsidRDefault="00E21EC8">
            <w:pPr>
              <w:rPr>
                <w:sz w:val="20"/>
                <w:szCs w:val="20"/>
              </w:rPr>
            </w:pPr>
          </w:p>
        </w:tc>
      </w:tr>
      <w:tr w:rsidR="00E21EC8" w14:paraId="35BB851C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0755B3A2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Plus additional a few advanced course</w:t>
            </w:r>
          </w:p>
          <w:p w14:paraId="7DD8EF7E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Must enroll in IDI Doctoral Seminar all semesters till graduation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0668A3F9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E599" w:themeFill="accent4" w:themeFillTint="66"/>
          </w:tcPr>
          <w:p w14:paraId="776729D9" w14:textId="6F9018BF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All pre-QE IDI students must enroll in the IDI  Doctoral </w:t>
            </w:r>
            <w:r w:rsidR="00C66691">
              <w:rPr>
                <w:sz w:val="18"/>
                <w:szCs w:val="18"/>
              </w:rPr>
              <w:t xml:space="preserve">Research </w:t>
            </w:r>
            <w:r w:rsidRPr="00D31163">
              <w:rPr>
                <w:sz w:val="18"/>
                <w:szCs w:val="18"/>
              </w:rPr>
              <w:t>Seminar</w:t>
            </w:r>
            <w:r w:rsidR="00C66691">
              <w:rPr>
                <w:sz w:val="18"/>
                <w:szCs w:val="18"/>
              </w:rPr>
              <w:t xml:space="preserve"> (formerly “Wednesday Seminar”)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55366D65" w14:textId="77777777" w:rsidR="009C5882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Complete the </w:t>
            </w:r>
          </w:p>
          <w:p w14:paraId="5246293B" w14:textId="70BBD125" w:rsidR="009C5882" w:rsidRDefault="009C5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IDI Program Annual Doctoral progress report in March every Spring***  </w:t>
            </w:r>
          </w:p>
          <w:p w14:paraId="4BBD51FB" w14:textId="26F8A8D6" w:rsidR="00E21EC8" w:rsidRPr="00D31163" w:rsidRDefault="009C5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E21EC8" w:rsidRPr="00D31163">
              <w:rPr>
                <w:sz w:val="18"/>
                <w:szCs w:val="18"/>
              </w:rPr>
              <w:t xml:space="preserve">Grad Division requirement on Annual Doctoral Candidacy Review </w:t>
            </w:r>
            <w:r w:rsidR="00640BC6" w:rsidRPr="00D31163">
              <w:rPr>
                <w:sz w:val="18"/>
                <w:szCs w:val="18"/>
              </w:rPr>
              <w:t xml:space="preserve">(DCR) </w:t>
            </w:r>
            <w:r w:rsidR="00E21EC8" w:rsidRPr="00D31163">
              <w:rPr>
                <w:sz w:val="18"/>
                <w:szCs w:val="18"/>
              </w:rPr>
              <w:t>via</w:t>
            </w:r>
          </w:p>
          <w:p w14:paraId="38FEF69B" w14:textId="4E8D1BB9" w:rsidR="00E21EC8" w:rsidRPr="00D31163" w:rsidRDefault="004101C2">
            <w:pPr>
              <w:rPr>
                <w:sz w:val="18"/>
                <w:szCs w:val="18"/>
              </w:rPr>
            </w:pPr>
            <w:proofErr w:type="spellStart"/>
            <w:r w:rsidRPr="00D31163">
              <w:rPr>
                <w:sz w:val="18"/>
                <w:szCs w:val="18"/>
              </w:rPr>
              <w:t>C</w:t>
            </w:r>
            <w:r w:rsidR="00E21EC8" w:rsidRPr="00D31163">
              <w:rPr>
                <w:sz w:val="18"/>
                <w:szCs w:val="18"/>
              </w:rPr>
              <w:t>al</w:t>
            </w:r>
            <w:r w:rsidRPr="00D31163">
              <w:rPr>
                <w:sz w:val="18"/>
                <w:szCs w:val="18"/>
              </w:rPr>
              <w:t>C</w:t>
            </w:r>
            <w:r w:rsidR="00E21EC8" w:rsidRPr="00D31163">
              <w:rPr>
                <w:sz w:val="18"/>
                <w:szCs w:val="18"/>
              </w:rPr>
              <w:t>entral</w:t>
            </w:r>
            <w:proofErr w:type="spellEnd"/>
            <w:r w:rsidR="00AE3C2C">
              <w:rPr>
                <w:sz w:val="18"/>
                <w:szCs w:val="18"/>
              </w:rPr>
              <w:t xml:space="preserve"> (see pdf version of e-form below</w:t>
            </w:r>
            <w:r w:rsidR="003160EE">
              <w:rPr>
                <w:sz w:val="18"/>
                <w:szCs w:val="18"/>
              </w:rPr>
              <w:t>*</w:t>
            </w:r>
            <w:r w:rsidR="00AE3C2C">
              <w:rPr>
                <w:sz w:val="18"/>
                <w:szCs w:val="18"/>
              </w:rPr>
              <w:t>**</w:t>
            </w:r>
            <w:r w:rsidR="009C5882">
              <w:rPr>
                <w:sz w:val="18"/>
                <w:szCs w:val="18"/>
              </w:rPr>
              <w:t>*</w:t>
            </w:r>
            <w:r w:rsidR="00AE3C2C"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8476BC8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56FE9878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14:paraId="002C1202" w14:textId="77777777" w:rsidR="00E21EC8" w:rsidRPr="00D31163" w:rsidRDefault="00E21EC8">
            <w:pPr>
              <w:rPr>
                <w:sz w:val="20"/>
                <w:szCs w:val="20"/>
              </w:rPr>
            </w:pPr>
          </w:p>
        </w:tc>
      </w:tr>
      <w:tr w:rsidR="00E21EC8" w14:paraId="4CB6B7ED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75EE475B" w14:textId="620EE41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Check </w:t>
            </w:r>
            <w:proofErr w:type="spellStart"/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al</w:t>
            </w:r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entral</w:t>
            </w:r>
            <w:proofErr w:type="spellEnd"/>
            <w:r w:rsidRPr="00D31163">
              <w:rPr>
                <w:sz w:val="18"/>
                <w:szCs w:val="18"/>
              </w:rPr>
              <w:t xml:space="preserve"> Academic Progress Report to monitor progress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51346186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E599" w:themeFill="accent4" w:themeFillTint="66"/>
          </w:tcPr>
          <w:p w14:paraId="618E2812" w14:textId="783DB6EE" w:rsidR="00E21EC8" w:rsidRPr="00D31163" w:rsidRDefault="00E21EC8">
            <w:pPr>
              <w:rPr>
                <w:sz w:val="18"/>
                <w:szCs w:val="18"/>
              </w:rPr>
            </w:pPr>
            <w:proofErr w:type="spellStart"/>
            <w:r w:rsidRPr="00D31163">
              <w:rPr>
                <w:sz w:val="18"/>
                <w:szCs w:val="18"/>
              </w:rPr>
              <w:t>Cal</w:t>
            </w:r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entral</w:t>
            </w:r>
            <w:proofErr w:type="spellEnd"/>
            <w:r w:rsidRPr="00D31163">
              <w:rPr>
                <w:sz w:val="18"/>
                <w:szCs w:val="18"/>
              </w:rPr>
              <w:t>:</w:t>
            </w:r>
          </w:p>
          <w:p w14:paraId="25A424F0" w14:textId="66AACB11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High Ed Committee, QE application e</w:t>
            </w:r>
            <w:r w:rsidR="004101C2" w:rsidRPr="00D31163">
              <w:rPr>
                <w:sz w:val="18"/>
                <w:szCs w:val="18"/>
              </w:rPr>
              <w:t>-</w:t>
            </w:r>
            <w:r w:rsidRPr="00D31163">
              <w:rPr>
                <w:sz w:val="18"/>
                <w:szCs w:val="18"/>
              </w:rPr>
              <w:t>form</w:t>
            </w:r>
            <w:r w:rsidR="00C66691">
              <w:rPr>
                <w:sz w:val="18"/>
                <w:szCs w:val="18"/>
              </w:rPr>
              <w:t>* (see below)</w:t>
            </w:r>
          </w:p>
          <w:p w14:paraId="2529E255" w14:textId="4A89D30E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Must submit the hard copy of the QE application to GSAO </w:t>
            </w:r>
            <w:r w:rsidR="00C66691">
              <w:rPr>
                <w:sz w:val="18"/>
                <w:szCs w:val="18"/>
              </w:rPr>
              <w:t xml:space="preserve">(e.g., Teresa Liu) and the Head Graduate Advisor </w:t>
            </w:r>
            <w:r w:rsidR="00C66691">
              <w:rPr>
                <w:sz w:val="18"/>
                <w:szCs w:val="18"/>
              </w:rPr>
              <w:lastRenderedPageBreak/>
              <w:t xml:space="preserve">(e.g. Eva Harris) </w:t>
            </w:r>
            <w:r w:rsidRPr="00D31163">
              <w:rPr>
                <w:sz w:val="18"/>
                <w:szCs w:val="18"/>
              </w:rPr>
              <w:t>for review prior to e</w:t>
            </w:r>
            <w:r w:rsidR="004101C2" w:rsidRPr="00D31163">
              <w:rPr>
                <w:sz w:val="18"/>
                <w:szCs w:val="18"/>
              </w:rPr>
              <w:t>-</w:t>
            </w:r>
            <w:r w:rsidRPr="00D31163">
              <w:rPr>
                <w:sz w:val="18"/>
                <w:szCs w:val="18"/>
              </w:rPr>
              <w:t>form submission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52DC93DF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321A64E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6CF5E56F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14:paraId="306FD121" w14:textId="77777777" w:rsidR="00E21EC8" w:rsidRPr="00D31163" w:rsidRDefault="00E21EC8">
            <w:pPr>
              <w:rPr>
                <w:sz w:val="20"/>
                <w:szCs w:val="20"/>
              </w:rPr>
            </w:pPr>
          </w:p>
        </w:tc>
      </w:tr>
    </w:tbl>
    <w:p w14:paraId="18BAF03E" w14:textId="77777777" w:rsidR="008E635F" w:rsidRDefault="00D2787A"/>
    <w:p w14:paraId="569F38A3" w14:textId="413D3F04" w:rsidR="00CB0D09" w:rsidRDefault="00CB0D09">
      <w:r>
        <w:t>Resources:</w:t>
      </w:r>
    </w:p>
    <w:p w14:paraId="65A74F3F" w14:textId="220CD347" w:rsidR="00C66691" w:rsidRDefault="00C66691">
      <w:r>
        <w:t>*</w:t>
      </w:r>
      <w:hyperlink r:id="rId7" w:history="1">
        <w:r w:rsidRPr="00C66691">
          <w:rPr>
            <w:rStyle w:val="Hyperlink"/>
          </w:rPr>
          <w:t>https://publichealth.berkeley.edu/wp-content/uploads/2020/03/QE_application-Internal-use-by-IDI-and-need-submit-to-IDI-PhD-program-before-student-submit-the-eform-in-calcentral.pdf</w:t>
        </w:r>
      </w:hyperlink>
    </w:p>
    <w:p w14:paraId="4E3D4AA4" w14:textId="4BF68961" w:rsidR="003160EE" w:rsidRDefault="003160EE">
      <w:pPr>
        <w:rPr>
          <w:rStyle w:val="Hyperlink"/>
        </w:rPr>
      </w:pPr>
      <w:r>
        <w:t>**</w:t>
      </w:r>
      <w:hyperlink r:id="rId8" w:history="1">
        <w:r w:rsidRPr="00AE3C2C">
          <w:rPr>
            <w:rStyle w:val="Hyperlink"/>
          </w:rPr>
          <w:t>https://grad.berkeley.edu/acade</w:t>
        </w:r>
        <w:r w:rsidRPr="00AE3C2C">
          <w:rPr>
            <w:rStyle w:val="Hyperlink"/>
          </w:rPr>
          <w:t>m</w:t>
        </w:r>
        <w:r w:rsidRPr="00AE3C2C">
          <w:rPr>
            <w:rStyle w:val="Hyperlink"/>
          </w:rPr>
          <w:t>ic-progress/forms/</w:t>
        </w:r>
      </w:hyperlink>
    </w:p>
    <w:p w14:paraId="4C0121C9" w14:textId="312C7879" w:rsidR="009C5882" w:rsidRPr="00D2787A" w:rsidRDefault="009C5882" w:rsidP="00D2787A">
      <w:pPr>
        <w:spacing w:before="5"/>
        <w:rPr>
          <w:color w:val="0000FF"/>
          <w:u w:val="single"/>
        </w:rPr>
      </w:pPr>
      <w:r>
        <w:rPr>
          <w:rStyle w:val="Hyperlink"/>
        </w:rPr>
        <w:t>***</w:t>
      </w:r>
      <w:hyperlink r:id="rId9" w:history="1">
        <w:r w:rsidR="00C817F8" w:rsidRPr="00D2787A">
          <w:rPr>
            <w:rStyle w:val="Hyperlink"/>
          </w:rPr>
          <w:t>IDIAnnualDoctoralAcademicProgress-updated-Form-before-student-submit-DCR form in calcentral.docx</w:t>
        </w:r>
      </w:hyperlink>
      <w:bookmarkStart w:id="0" w:name="_GoBack"/>
      <w:bookmarkEnd w:id="0"/>
    </w:p>
    <w:p w14:paraId="3D2F0871" w14:textId="2F5A719E" w:rsidR="00C817F8" w:rsidRDefault="00C817F8">
      <w:r>
        <w:rPr>
          <w:spacing w:val="-1"/>
        </w:rPr>
        <w:t>****</w:t>
      </w:r>
      <w:hyperlink r:id="rId10" w:history="1">
        <w:r w:rsidRPr="00C817F8">
          <w:rPr>
            <w:rStyle w:val="Hyperlink"/>
            <w:spacing w:val="-1"/>
          </w:rPr>
          <w:t>https://grad.berkeley.edu/academic-progress/adv</w:t>
        </w:r>
        <w:r w:rsidRPr="00C817F8">
          <w:rPr>
            <w:rStyle w:val="Hyperlink"/>
            <w:spacing w:val="-1"/>
          </w:rPr>
          <w:t>a</w:t>
        </w:r>
        <w:r w:rsidRPr="00C817F8">
          <w:rPr>
            <w:rStyle w:val="Hyperlink"/>
            <w:spacing w:val="-1"/>
          </w:rPr>
          <w:t>nced/doctoral-candidacy-review/</w:t>
        </w:r>
      </w:hyperlink>
    </w:p>
    <w:p w14:paraId="354CB54F" w14:textId="77777777" w:rsidR="00CB0D09" w:rsidRDefault="00D2787A" w:rsidP="00E21EC8">
      <w:hyperlink r:id="rId11" w:history="1">
        <w:r w:rsidR="00CB0D09">
          <w:rPr>
            <w:rStyle w:val="Hyperlink"/>
          </w:rPr>
          <w:t>https://grad.berkeley.edu/covid-19-information-for-graduate-students/</w:t>
        </w:r>
      </w:hyperlink>
    </w:p>
    <w:p w14:paraId="5AD46759" w14:textId="77777777" w:rsidR="00CB0D09" w:rsidRDefault="00D2787A">
      <w:hyperlink r:id="rId12" w:history="1">
        <w:r w:rsidR="00CB0D09">
          <w:rPr>
            <w:rStyle w:val="Hyperlink"/>
          </w:rPr>
          <w:t>https://grad.berkeley.edu/academic-progress/deadlines/</w:t>
        </w:r>
      </w:hyperlink>
    </w:p>
    <w:p w14:paraId="77F0C7F6" w14:textId="77777777" w:rsidR="003412A8" w:rsidRDefault="003412A8"/>
    <w:sectPr w:rsidR="003412A8" w:rsidSect="0067388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2254" w14:textId="77777777" w:rsidR="0004284F" w:rsidRDefault="0004284F" w:rsidP="00FF7689">
      <w:pPr>
        <w:spacing w:after="0" w:line="240" w:lineRule="auto"/>
      </w:pPr>
      <w:r>
        <w:separator/>
      </w:r>
    </w:p>
  </w:endnote>
  <w:endnote w:type="continuationSeparator" w:id="0">
    <w:p w14:paraId="4AAEB362" w14:textId="77777777" w:rsidR="0004284F" w:rsidRDefault="0004284F" w:rsidP="00FF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ED70" w14:textId="77777777" w:rsidR="0004284F" w:rsidRDefault="0004284F" w:rsidP="00FF7689">
      <w:pPr>
        <w:spacing w:after="0" w:line="240" w:lineRule="auto"/>
      </w:pPr>
      <w:r>
        <w:separator/>
      </w:r>
    </w:p>
  </w:footnote>
  <w:footnote w:type="continuationSeparator" w:id="0">
    <w:p w14:paraId="72C91FDE" w14:textId="77777777" w:rsidR="0004284F" w:rsidRDefault="0004284F" w:rsidP="00FF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5777" w14:textId="5063DF51" w:rsidR="00FF7689" w:rsidRPr="00922DB8" w:rsidRDefault="003037CB" w:rsidP="00922DB8">
    <w:pPr>
      <w:pStyle w:val="Header"/>
      <w:jc w:val="center"/>
      <w:rPr>
        <w:b/>
        <w:bCs/>
      </w:rPr>
    </w:pPr>
    <w:r w:rsidRPr="00922DB8">
      <w:rPr>
        <w:b/>
        <w:bCs/>
        <w:sz w:val="24"/>
        <w:szCs w:val="24"/>
      </w:rPr>
      <w:t xml:space="preserve">IDI </w:t>
    </w:r>
    <w:r w:rsidR="00FF7689" w:rsidRPr="00922DB8">
      <w:rPr>
        <w:b/>
        <w:bCs/>
        <w:sz w:val="24"/>
        <w:szCs w:val="24"/>
      </w:rPr>
      <w:t>Doctoral Degree (Ph.D.)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9"/>
    <w:rsid w:val="0004284F"/>
    <w:rsid w:val="001D525E"/>
    <w:rsid w:val="003037CB"/>
    <w:rsid w:val="003160EE"/>
    <w:rsid w:val="003412A8"/>
    <w:rsid w:val="004101C2"/>
    <w:rsid w:val="00640BC6"/>
    <w:rsid w:val="00673883"/>
    <w:rsid w:val="007A443A"/>
    <w:rsid w:val="007D2296"/>
    <w:rsid w:val="0083115C"/>
    <w:rsid w:val="00922DB8"/>
    <w:rsid w:val="00986BA1"/>
    <w:rsid w:val="009C5882"/>
    <w:rsid w:val="00AE3C2C"/>
    <w:rsid w:val="00C1316A"/>
    <w:rsid w:val="00C21FA2"/>
    <w:rsid w:val="00C66691"/>
    <w:rsid w:val="00C817F8"/>
    <w:rsid w:val="00CB0D09"/>
    <w:rsid w:val="00CC1AAF"/>
    <w:rsid w:val="00D2787A"/>
    <w:rsid w:val="00D31163"/>
    <w:rsid w:val="00E21EC8"/>
    <w:rsid w:val="00E7014A"/>
    <w:rsid w:val="00FD5DEE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947B07"/>
  <w15:chartTrackingRefBased/>
  <w15:docId w15:val="{B0CAB25E-1D13-4FC8-8A50-24D2DA48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89"/>
  </w:style>
  <w:style w:type="paragraph" w:styleId="Footer">
    <w:name w:val="footer"/>
    <w:basedOn w:val="Normal"/>
    <w:link w:val="FooterChar"/>
    <w:uiPriority w:val="99"/>
    <w:unhideWhenUsed/>
    <w:rsid w:val="00FF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89"/>
  </w:style>
  <w:style w:type="character" w:styleId="Hyperlink">
    <w:name w:val="Hyperlink"/>
    <w:basedOn w:val="DefaultParagraphFont"/>
    <w:uiPriority w:val="99"/>
    <w:unhideWhenUsed/>
    <w:rsid w:val="00CB0D0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6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C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berkeley.edu/academic-progress/form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health.berkeley.edu/wp-content/uploads/2020/03/QE_application-Internal-use-by-IDI-and-need-submit-to-IDI-PhD-program-before-student-submit-the-eform-in-calcentral.pdf" TargetMode="External"/><Relationship Id="rId12" Type="http://schemas.openxmlformats.org/officeDocument/2006/relationships/hyperlink" Target="https://grad.berkeley.edu/academic-progress/deadlin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rad.berkeley.edu/covid-19-information-for-graduate-studen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rad.berkeley.edu/academic-progress/advanced/doctoral-candidacy-re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campus.berkeley.edu\eei-dfs\SPH\IDV\Departmental\Division%20Documents\Student%20Services\Student%20Affairs-MPH%20and%20PhD\Student%20Affairs\PhD%20Report%20on%20Progress\IDIAnnualDoctoralAcademicProgress-updated-Form-before-student-submit-DCR%20form%20in%20calcentral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F5E6-657E-4074-A546-49E1EF20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Liu</dc:creator>
  <cp:keywords/>
  <dc:description/>
  <cp:lastModifiedBy>Teresa Liu</cp:lastModifiedBy>
  <cp:revision>2</cp:revision>
  <dcterms:created xsi:type="dcterms:W3CDTF">2021-05-17T19:58:00Z</dcterms:created>
  <dcterms:modified xsi:type="dcterms:W3CDTF">2021-05-17T19:58:00Z</dcterms:modified>
</cp:coreProperties>
</file>